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536" w:val="left"/>
        </w:tabs>
        <w:spacing w:line="360" w:lineRule="auto"/>
        <w:jc w:val="both"/>
      </w:pPr>
      <w:r>
        <w:rPr>
          <w:rFonts w:ascii="Times New Roman" w:hAnsi="Times New Roman"/>
          <w:szCs w:val="24"/>
        </w:rPr>
        <w:pict/>
      </w:r>
    </w:p>
    <w:p>
      <w:pPr>
        <w:pStyle w:val="style0"/>
        <w:pBdr/>
        <w:spacing w:lineRule="auto"/>
      </w:pPr>
      <w:r>
        <w:rPr>
          <w:rFonts w:ascii="Times New Roman" w:hAnsi="Times New Roman"/>
          <w:szCs w:val="24"/>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2.15pt;height:50.35pt" type="shapetype_75">
              <v:fill detectmouseclick="t"/>
              <v:wrap v:type="none"/>
              <v:stroke color="gray" joinstyle="round"/>
            </v:shape>
          </w:pict>
        </w:rPr>
      </w:r>
      <w:r>
        <w:rPr>
          <w:rFonts w:ascii="Times New Roman" w:hAnsi="Times New Roman"/>
          <w:szCs w:val="24"/>
        </w:rPr>
        <w:t>Į</w:t>
      </w:r>
      <w:bookmarkStart w:id="0" w:name="data21"/>
      <w:bookmarkEnd w:id="0"/>
      <w:r>
        <w:rPr>
          <w:rFonts w:ascii="Times New Roman" w:hAnsi="Times New Roman"/>
          <w:szCs w:val="24"/>
        </w:rPr>
        <w:t xml:space="preserve"> 2017-05-11 pareiškimą</w:t>
      </w:r>
    </w:p>
    <w:p>
      <w:pPr>
        <w:pStyle w:val="style29"/>
        <w:ind w:hanging="0" w:left="283" w:right="0"/>
      </w:pPr>
      <w:r>
        <w:rPr>
          <w:b/>
          <w:szCs w:val="24"/>
        </w:rPr>
        <w:t>DĖL PAREIŠKIMO, REGISTRACIJOS NR. 5-01-4695, NAGRINĖJIMO</w:t>
      </w:r>
    </w:p>
    <w:p>
      <w:pPr>
        <w:pStyle w:val="style0"/>
        <w:pBdr/>
        <w:spacing w:line="480" w:lineRule="auto"/>
      </w:pPr>
      <w:r>
        <w:rPr>
          <w:rFonts w:ascii="Times New Roman" w:hAnsi="Times New Roman"/>
          <w:szCs w:val="24"/>
        </w:rPr>
        <w:t>Giedriui Jankauskui</w:t>
      </w:r>
    </w:p>
    <w:p>
      <w:pPr>
        <w:pStyle w:val="style0"/>
        <w:pBdr/>
        <w:spacing w:line="480" w:lineRule="auto"/>
      </w:pPr>
      <w:r>
        <w:rPr>
          <w:rFonts w:ascii="Times New Roman" w:hAnsi="Times New Roman"/>
          <w:szCs w:val="24"/>
        </w:rPr>
        <w:t>El. paštas info@duomena.com</w:t>
      </w:r>
    </w:p>
    <w:p>
      <w:pPr>
        <w:pStyle w:val="style0"/>
        <w:pBdr/>
      </w:pPr>
      <w:r>
        <w:rPr>
          <w:rFonts w:ascii="Times New Roman" w:hAnsi="Times New Roman"/>
          <w:szCs w:val="24"/>
        </w:rPr>
      </w:r>
    </w:p>
    <w:p>
      <w:pPr>
        <w:pStyle w:val="style0"/>
        <w:pBdr/>
      </w:pPr>
      <w:r>
        <w:rPr>
          <w:rFonts w:ascii="Times New Roman" w:hAnsi="Times New Roman"/>
          <w:szCs w:val="24"/>
        </w:rPr>
      </w:r>
    </w:p>
    <w:p>
      <w:pPr>
        <w:pStyle w:val="style29"/>
        <w:spacing w:line="360" w:lineRule="auto"/>
        <w:ind w:firstLine="851" w:left="283" w:right="0"/>
      </w:pPr>
      <w:r>
        <w:rPr>
          <w:szCs w:val="24"/>
        </w:rPr>
      </w:r>
    </w:p>
    <w:p>
      <w:pPr>
        <w:pStyle w:val="style0"/>
        <w:shd w:fill="FFFFFF" w:val="clear"/>
        <w:spacing w:line="360" w:lineRule="auto"/>
        <w:ind w:firstLine="720" w:left="0" w:right="0"/>
        <w:jc w:val="both"/>
      </w:pPr>
      <w:r>
        <w:rPr>
          <w:rFonts w:ascii="Times New Roman" w:hAnsi="Times New Roman"/>
          <w:color w:val="000000"/>
          <w:szCs w:val="24"/>
        </w:rPr>
        <w:t xml:space="preserve">Gerb. p. Giedriau Jankauskai, 2017-05-12 Lietuvos Respublikos specialiųjų tyrimų tarnyboje (toliau – STT) gautas Jūsų pareiškimas, registracijos Nr. 5-01-4695, kuriuo prašote patikrinti, ar nebuvo piktnaudžiaujama tarnybine padėtimi, tvirtinant Irenos Madevič žemės sklypui gyvenamąją paskirtį, kadastro Nr. 7970/0003:1771, sklypo pertvarkymo projektą buvusiam sklypui, kadastro Nr. 7970/0003:349. </w:t>
      </w:r>
    </w:p>
    <w:p>
      <w:pPr>
        <w:pStyle w:val="style0"/>
        <w:shd w:fill="FFFFFF" w:val="clear"/>
        <w:spacing w:line="360" w:lineRule="auto"/>
        <w:ind w:firstLine="720" w:left="0" w:right="0"/>
        <w:jc w:val="both"/>
      </w:pPr>
      <w:r>
        <w:rPr>
          <w:rFonts w:ascii="Times New Roman" w:hAnsi="Times New Roman"/>
          <w:color w:val="000000"/>
          <w:szCs w:val="24"/>
        </w:rPr>
        <w:t xml:space="preserve">Pareiškime nurodote, kad 2017-04-20 su prašymu inicijuoti tyrimą dėl UAB ,,Geodeziniai matavimai“ (Rolando Paškonio) parengto aptariamo žemės sklypo formavimo ir pertvarkymo projekto kreipėtės į Vilniaus apskrities vyriausiojo policijos komisariato Trakų rajono policijos komisariatą (toliau – Trakų rajono PK), kuriame buvo atsisakyta pradėti ikiteisminį tyrimą medžiagoje Nr. M-1-01-34237-17. Integruotos baudžiamojo proceso sistemos duomenimis, Vilniaus apygardos prokuratūros Vilniaus apylinkės prokuratūra panaikino Jūsų apskųstą Trakų rajono PK sprendimą atsisakyti pradėti ikiteisminį tyrimą ir 2017-05-23 pagal Jūsų prašymą buvo pradėtas ikiteisminis tyrimas Nr. 02-2-00291-17 dėl galimai padarytų nusikalstamų veikų, numatytų Lietuvos Respublikos baudžiamojo kodekso 228 str. 1 d.   </w:t>
      </w:r>
    </w:p>
    <w:p>
      <w:pPr>
        <w:sectPr>
          <w:footerReference r:id="rId2" w:type="first"/>
          <w:type w:val="nextPage"/>
          <w:pgSz w:h="15840" w:w="12240"/>
          <w:pgSz w:h="15840" w:w="12240"/>
          <w:pgMar w:bottom="2226" w:footer="1134" w:gutter="0" w:header="0" w:left="1134" w:right="1134" w:top="1134"/>
          <w:pgNumType w:fmt="decimal"/>
          <w:formProt w:val="false"/>
          <w:titlePg/>
          <w:textDirection w:val="lrTb"/>
          <w:textDirection w:val="lrTb"/>
        </w:sectPr>
        <w:pStyle w:val="style0"/>
        <w:shd w:fill="FFFFFF" w:val="clear"/>
        <w:spacing w:line="360" w:lineRule="auto"/>
        <w:ind w:firstLine="720" w:left="0" w:right="0"/>
        <w:jc w:val="both"/>
      </w:pPr>
      <w:r>
        <w:rPr>
          <w:rFonts w:ascii="Times New Roman" w:hAnsi="Times New Roman"/>
          <w:color w:val="000000"/>
          <w:szCs w:val="24"/>
        </w:rPr>
        <w:t>Pranešame, kad STT pagal Lietuvos Respublikos įstatymų bei kitų teisės aktų jai suteiktą kompetenciją tiria ir atskleidžia korupcinio pobūdžio nusikalstamas veikas (valstybės tarnautojų ir jiems prilygintų asmenų kyšininkavimas, piktnaudžiavimas, tarnybos pareigų neatlikimas ar kita). Kadangi Jūsų pareiškime nurodytos aplinkybės jau yra nagrinėjamos kitoje ikiteisminio tyrimo institucijoje – Trakų rajono PK, STT neturi pagrindo pradėti tyrimo dėl tų pačių aplinkybių.</w:t>
      </w:r>
      <w:r>
        <w:rPr/>
        <w:t xml:space="preserve"> </w:t>
      </w:r>
    </w:p>
    <w:p>
      <w:pPr>
        <w:sectPr>
          <w:type w:val="continuous"/>
          <w:pgSz w:h="15840" w:w="12240"/>
          <w:pgMar w:bottom="1670" w:footer="1134" w:gutter="0" w:header="1134" w:left="1134" w:right="1134" w:top="1670"/>
          <w:formProt w:val="false"/>
          <w:textDirection w:val="lrTb"/>
        </w:sectPr>
        <w:pStyle w:val="style0"/>
        <w:shd w:fill="FFFFFF" w:val="clear"/>
        <w:spacing w:line="360" w:lineRule="auto"/>
        <w:ind w:firstLine="720" w:left="0" w:right="0"/>
        <w:jc w:val="both"/>
      </w:pPr>
      <w:r>
        <w:rPr>
          <w:rFonts w:ascii="Times New Roman" w:hAnsi="Times New Roman"/>
          <w:color w:val="000000"/>
          <w:szCs w:val="24"/>
        </w:rPr>
        <w:t xml:space="preserve">Lietuvos Respublikos teisės aktai nesuteikia teisės STT revizuoti prokurorų ar ikiteisminio tyrimo pareigūnų priimtų proceso sprendimų bei vertinti jų proceso veiksmų teisėtumo ir pagrįstumo. Lietuvos Respublikos prokuratūros įstatymo 3 straipsnio 2 dalyje numatyta, kad prokuroras sprendimus priima savarankiškai ir vienvaldiškai, vadovaudamasis įstatymais ir protingumo principu, gerbdamas asmens teises ir laisves, laikydamasis nekaltumo prezumpcijos, taip pat principo, kad įstatymui, valstybės institucijoms ir pareigūnams visi asmenys yra lygūs nepaisant asmens socialinės ir šeiminės padėties, pareigų, užsiėmimo, įsitikinimų, pažiūrų, kilmės, rasės, lyties, tautybės, kalbos, tikėjimo ir išsilavinimo. </w:t>
      </w:r>
    </w:p>
    <w:p>
      <w:pPr>
        <w:pStyle w:val="style0"/>
        <w:shd w:fill="FFFFFF" w:val="clear"/>
        <w:spacing w:line="360" w:lineRule="auto"/>
        <w:ind w:firstLine="720" w:left="0" w:right="0"/>
        <w:jc w:val="both"/>
      </w:pPr>
      <w:r>
        <w:rPr>
          <w:rFonts w:ascii="Times New Roman" w:hAnsi="Times New Roman"/>
          <w:color w:val="000000"/>
          <w:szCs w:val="24"/>
        </w:rPr>
        <w:t>Primename, kad vadovaujantis Lietuvos Respubl</w:t>
      </w:r>
      <w:bookmarkStart w:id="1" w:name="_GoBack"/>
      <w:bookmarkEnd w:id="1"/>
      <w:r>
        <w:rPr>
          <w:rFonts w:ascii="Times New Roman" w:hAnsi="Times New Roman"/>
          <w:color w:val="000000"/>
          <w:szCs w:val="24"/>
        </w:rPr>
        <w:t>ikos prokuratūros įstatymo 2 straipsnio 1, 2 ir 3 punktais prokuratūra įstatymų nustatytais pagrindais ir tvarka organizuoja ikiteisminį tyrimą ir jam vadovauja, atlieka ikiteisminį tyrimą ar atskirus ikiteisminio tyrimo veiksmus bei kontroliuoja ikiteisminio tyrimo pareigūnų veiklą baudžiamajame procese. Vadovaujantis Lietuvos Respublikos prokuratūros įstatymo 4 straipsnio 2 dalimi, prokurorų proceso veiklą kontroliuoja aukštesnysis prokuroras ir teismas. Aukštesnysis prokuroras ir teismas nustato prokurorų padarytus proceso įstatymų pažeidimus ir panaikina neteisėtus sprendimus.</w:t>
      </w:r>
    </w:p>
    <w:p>
      <w:pPr>
        <w:pStyle w:val="style0"/>
        <w:shd w:fill="FFFFFF" w:val="clear"/>
        <w:spacing w:line="360" w:lineRule="auto"/>
        <w:ind w:firstLine="720" w:left="0" w:right="0"/>
        <w:jc w:val="both"/>
      </w:pPr>
      <w:r>
        <w:rPr>
          <w:rFonts w:ascii="Times New Roman" w:hAnsi="Times New Roman"/>
          <w:color w:val="000000"/>
          <w:szCs w:val="24"/>
        </w:rPr>
        <w:t xml:space="preserve">Taip pat informuojame, kad STT procesinę ikiteisminio tyrimo priežiūrą vykdo prokuratūra, o galimybė skųsti pateiktą Jums atsakymą į pareiškimą ir apskundimo tvarka yra nustatyta Lietuvos Respublikos administracinių bylų teisenos įstatyme. </w:t>
      </w:r>
    </w:p>
    <w:p>
      <w:pPr>
        <w:pStyle w:val="style0"/>
        <w:shd w:fill="FFFFFF" w:val="clear"/>
        <w:spacing w:line="360" w:lineRule="auto"/>
        <w:ind w:firstLine="720" w:left="0" w:right="0"/>
        <w:jc w:val="both"/>
      </w:pPr>
      <w:r>
        <w:rPr>
          <w:rFonts w:ascii="Times New Roman" w:hAnsi="Times New Roman"/>
          <w:color w:val="000000"/>
          <w:szCs w:val="24"/>
        </w:rPr>
        <w:t xml:space="preserve">  </w:t>
      </w:r>
    </w:p>
    <w:p>
      <w:pPr>
        <w:pStyle w:val="style0"/>
        <w:shd w:fill="FFFFFF" w:val="clear"/>
        <w:spacing w:line="360" w:lineRule="auto"/>
        <w:jc w:val="both"/>
      </w:pPr>
      <w:r>
        <w:rPr>
          <w:rFonts w:ascii="Times New Roman" w:hAnsi="Times New Roman"/>
          <w:color w:val="000000"/>
          <w:szCs w:val="24"/>
        </w:rPr>
        <w:t>Administravimo valdybos viršininko pavaduotoja</w:t>
        <w:tab/>
        <w:tab/>
        <w:t xml:space="preserve">                 </w:t>
        <w:tab/>
        <w:tab/>
        <w:t>Rūta Kaziliūnaitė</w:t>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color w:val="000000"/>
          <w:szCs w:val="24"/>
        </w:rPr>
      </w:r>
    </w:p>
    <w:p>
      <w:pPr>
        <w:pStyle w:val="style29"/>
        <w:spacing w:line="360" w:lineRule="auto"/>
      </w:pPr>
      <w:r>
        <w:rPr>
          <w:szCs w:val="24"/>
        </w:rPr>
      </w:r>
    </w:p>
    <w:p>
      <w:pPr>
        <w:pStyle w:val="style29"/>
        <w:spacing w:line="360" w:lineRule="auto"/>
      </w:pPr>
      <w:r>
        <w:rPr>
          <w:szCs w:val="24"/>
        </w:rPr>
      </w:r>
    </w:p>
    <w:p>
      <w:pPr>
        <w:pStyle w:val="style29"/>
        <w:spacing w:line="360" w:lineRule="auto"/>
        <w:ind w:hanging="0" w:left="283" w:right="0"/>
      </w:pPr>
      <w:r>
        <w:rPr>
          <w:szCs w:val="24"/>
        </w:rPr>
        <w:t>Rolandas Olšauskas, tel. (8 706) 63317</w:t>
      </w:r>
    </w:p>
    <w:p>
      <w:pPr>
        <w:sectPr>
          <w:type w:val="continuous"/>
          <w:pgSz w:h="15840" w:w="12240"/>
          <w:pgMar w:bottom="1670" w:footer="1134" w:gutter="0" w:header="1134" w:left="1134" w:right="1134" w:top="1670"/>
          <w:formProt w:val="false"/>
          <w:textDirection w:val="lrTb"/>
        </w:sectPr>
      </w:pPr>
    </w:p>
    <w:sectPr>
      <w:type w:val="continuous"/>
      <w:pgSz w:h="15840" w:w="12240"/>
      <w:pgMar w:bottom="1670" w:footer="1134" w:gutter="0" w:header="1134" w:left="1134" w:right="1134" w:top="1670"/>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Fonts w:ascii="Times New Roman" w:hAnsi="Times New Roman"/>
        <w:sz w:val="18"/>
      </w:rPr>
      <w:t>Biudžetinė įstaiga</w:t>
      <w:tab/>
      <w:t xml:space="preserve">                                                   Tel. ( 8 706 ) 63 335                                 Duomenys kaupiami ir saugomi</w:t>
    </w:r>
    <w:pStyle w:val="style33"/>
    <w:tabs>
      <w:tab w:leader="none" w:pos="1296" w:val="left"/>
      <w:tab w:leader="none" w:pos="4153" w:val="center"/>
      <w:tab w:leader="none" w:pos="4536" w:val="left"/>
      <w:tab w:leader="none" w:pos="4820" w:val="left"/>
      <w:tab w:leader="none" w:pos="5103" w:val="left"/>
      <w:tab w:leader="none" w:pos="8306" w:val="right"/>
    </w:tabs>
    <w:pPr/>
  </w:p>
  <w:p>
    <w:r>
      <w:rPr>
        <w:sz w:val="18"/>
      </w:rPr>
      <w:t>A. Jakšto g. 6, 01105 Vilnius</w:t>
      <w:tab/>
      <w:tab/>
      <w:tab/>
      <w:t>Faks. ( 8 706 ) 63 307</w:t>
    </w:r>
    <w:r>
      <w:rPr>
        <w:rFonts w:ascii="Times New Roman" w:hAnsi="Times New Roman"/>
        <w:sz w:val="18"/>
      </w:rPr>
      <w:t xml:space="preserve">                               Juridinių asmenų registre</w:t>
    </w:r>
    <w:pStyle w:val="style33"/>
    <w:tabs/>
    <w:pPr/>
  </w:p>
  <w:p>
    <w:r>
      <w:rPr>
        <w:rFonts w:ascii="Times New Roman" w:hAnsi="Times New Roman"/>
        <w:sz w:val="18"/>
      </w:rPr>
      <w:tab/>
      <w:tab/>
      <w:tab/>
      <w:tab/>
      <w:tab/>
      <w:t xml:space="preserve">El. p. </w:t>
    </w:r>
    <w:r>
      <w:rPr>
        <w:sz w:val="18"/>
      </w:rPr>
      <w:t>dokumentai@stt.lt</w:t>
    </w:r>
    <w:r>
      <w:rPr>
        <w:rFonts w:ascii="Times New Roman" w:hAnsi="Times New Roman"/>
        <w:sz w:val="18"/>
      </w:rPr>
      <w:tab/>
      <w:tab/>
      <w:t xml:space="preserve">  Kodas 188659948</w:t>
    </w:r>
    <w:pStyle w:val="style33"/>
    <w:tabs/>
    <w:pPr/>
  </w:p>
  <w:p>
    <w:r>
      <w:rPr>
        <w:rFonts w:ascii="Times New Roman" w:hAnsi="Times New Roman"/>
        <w:sz w:val="18"/>
      </w:rPr>
      <w:tab/>
      <w:tab/>
      <w:tab/>
      <w:tab/>
      <w:tab/>
    </w:r>
    <w:pStyle w:val="style33"/>
    <w:tabs/>
    <w:pPr/>
  </w:p>
  <w:p>
    <w:pPr>
      <w:pStyle w:val="style33"/>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LT" w:cs="Times New Roman" w:eastAsia="Times New Roman" w:hAnsi="TimesLT"/>
      <w:color w:val="auto"/>
      <w:sz w:val="24"/>
      <w:szCs w:val="20"/>
      <w:lang w:bidi="ar-SA" w:eastAsia="en-US" w:val="lt-LT"/>
    </w:rPr>
  </w:style>
  <w:style w:styleId="style15" w:type="character">
    <w:name w:val="Default Paragraph Font"/>
    <w:next w:val="style15"/>
    <w:rPr/>
  </w:style>
  <w:style w:styleId="style16" w:type="character">
    <w:name w:val="page number"/>
    <w:basedOn w:val="style15"/>
    <w:next w:val="style16"/>
    <w:rPr/>
  </w:style>
  <w:style w:styleId="style17" w:type="character">
    <w:name w:val="Poraštė Diagrama"/>
    <w:next w:val="style17"/>
    <w:rPr>
      <w:rFonts w:ascii="TimesLT" w:hAnsi="TimesLT"/>
      <w:sz w:val="22"/>
    </w:rPr>
  </w:style>
  <w:style w:styleId="style18" w:type="character">
    <w:name w:val="Pagrindinio teksto įtrauka Diagrama"/>
    <w:next w:val="style18"/>
    <w:rPr>
      <w:sz w:val="24"/>
      <w:lang w:eastAsia="en-US"/>
    </w:rPr>
  </w:style>
  <w:style w:styleId="style19" w:type="character">
    <w:name w:val="Pagrindinis tekstas 3 Diagrama"/>
    <w:next w:val="style19"/>
    <w:rPr>
      <w:sz w:val="16"/>
      <w:szCs w:val="16"/>
      <w:lang w:eastAsia="en-US"/>
    </w:rPr>
  </w:style>
  <w:style w:styleId="style20" w:type="character">
    <w:name w:val="Internet Link"/>
    <w:next w:val="style20"/>
    <w:rPr>
      <w:rFonts w:ascii="Tahoma" w:cs="Tahoma" w:hAnsi="Tahoma"/>
      <w:b w:val="false"/>
      <w:bCs w:val="false"/>
      <w:strike w:val="false"/>
      <w:dstrike w:val="false"/>
      <w:color w:val="D25D3F"/>
      <w:sz w:val="10"/>
      <w:szCs w:val="10"/>
      <w:u w:val="none"/>
      <w:effect w:val="none"/>
      <w:lang w:bidi="en-US" w:eastAsia="en-US" w:val="en-US"/>
    </w:rPr>
  </w:style>
  <w:style w:styleId="style21" w:type="character">
    <w:name w:val="Pagrindinio teksto įtrauka 3 Diagrama"/>
    <w:next w:val="style21"/>
    <w:rPr>
      <w:rFonts w:ascii="TimesLT" w:hAnsi="TimesLT"/>
      <w:sz w:val="16"/>
      <w:szCs w:val="16"/>
      <w:lang w:eastAsia="en-US"/>
    </w:rPr>
  </w:style>
  <w:style w:styleId="style22" w:type="character">
    <w:name w:val="annotation reference"/>
    <w:next w:val="style22"/>
    <w:rPr>
      <w:sz w:val="16"/>
      <w:szCs w:val="16"/>
    </w:rPr>
  </w:style>
  <w:style w:styleId="style23" w:type="character">
    <w:name w:val="Komentaro tekstas Diagrama"/>
    <w:next w:val="style23"/>
    <w:rPr>
      <w:rFonts w:ascii="Calibri" w:cs="Calibri" w:eastAsia="Calibri" w:hAnsi="Calibri"/>
      <w:lang w:eastAsia="en-US"/>
    </w:rPr>
  </w:style>
  <w:style w:styleId="style24" w:type="paragraph">
    <w:name w:val="Heading"/>
    <w:basedOn w:val="style0"/>
    <w:next w:val="style25"/>
    <w:pPr>
      <w:keepNext/>
      <w:spacing w:after="120" w:before="240"/>
    </w:pPr>
    <w:rPr>
      <w:rFonts w:ascii="Arial" w:cs="Lohit Hindi" w:eastAsia="WenQuanYi Micro Hei"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Text body indent"/>
    <w:basedOn w:val="style0"/>
    <w:next w:val="style29"/>
    <w:pPr>
      <w:ind w:firstLine="720" w:left="283" w:right="0"/>
      <w:jc w:val="both"/>
    </w:pPr>
    <w:rPr>
      <w:rFonts w:ascii="Times New Roman" w:hAnsi="Times New Roman"/>
    </w:rPr>
  </w:style>
  <w:style w:styleId="style30" w:type="paragraph">
    <w:name w:val="Balloon Text"/>
    <w:basedOn w:val="style0"/>
    <w:next w:val="style30"/>
    <w:pPr/>
    <w:rPr>
      <w:rFonts w:ascii="Tahoma" w:cs="Tahoma" w:hAnsi="Tahoma"/>
      <w:sz w:val="16"/>
      <w:szCs w:val="16"/>
    </w:rPr>
  </w:style>
  <w:style w:styleId="style31" w:type="paragraph">
    <w:name w:val="Body Text 2"/>
    <w:basedOn w:val="style0"/>
    <w:next w:val="style31"/>
    <w:pPr>
      <w:spacing w:after="120" w:before="0" w:line="480" w:lineRule="auto"/>
    </w:pPr>
    <w:rPr/>
  </w:style>
  <w:style w:styleId="style32" w:type="paragraph">
    <w:name w:val="Header"/>
    <w:basedOn w:val="style0"/>
    <w:next w:val="style32"/>
    <w:pPr>
      <w:suppressLineNumbers/>
      <w:tabs>
        <w:tab w:leader="none" w:pos="4153" w:val="center"/>
        <w:tab w:leader="none" w:pos="8306" w:val="right"/>
      </w:tabs>
    </w:pPr>
    <w:rPr>
      <w:sz w:val="22"/>
      <w:lang w:eastAsia="lt-LT"/>
    </w:rPr>
  </w:style>
  <w:style w:styleId="style33" w:type="paragraph">
    <w:name w:val="Footer"/>
    <w:basedOn w:val="style0"/>
    <w:next w:val="style33"/>
    <w:pPr>
      <w:suppressLineNumbers/>
      <w:tabs>
        <w:tab w:leader="none" w:pos="4153" w:val="center"/>
        <w:tab w:leader="none" w:pos="8306" w:val="right"/>
      </w:tabs>
    </w:pPr>
    <w:rPr>
      <w:sz w:val="22"/>
      <w:lang w:eastAsia="en-US" w:val="en-US"/>
    </w:rPr>
  </w:style>
  <w:style w:styleId="style34" w:type="paragraph">
    <w:name w:val="Body Text 3"/>
    <w:basedOn w:val="style0"/>
    <w:next w:val="style34"/>
    <w:pPr>
      <w:spacing w:after="120" w:before="0"/>
    </w:pPr>
    <w:rPr>
      <w:rFonts w:ascii="Times New Roman" w:hAnsi="Times New Roman"/>
      <w:sz w:val="16"/>
      <w:szCs w:val="16"/>
      <w:lang w:val="en-US"/>
    </w:rPr>
  </w:style>
  <w:style w:styleId="style35" w:type="paragraph">
    <w:name w:val="Normal (Web)"/>
    <w:basedOn w:val="style0"/>
    <w:next w:val="style35"/>
    <w:pPr>
      <w:spacing w:after="28" w:before="28"/>
    </w:pPr>
    <w:rPr>
      <w:rFonts w:ascii="Tahoma" w:cs="Tahoma" w:hAnsi="Tahoma"/>
      <w:color w:val="000000"/>
      <w:sz w:val="10"/>
      <w:szCs w:val="10"/>
      <w:lang w:eastAsia="lt-LT"/>
    </w:rPr>
  </w:style>
  <w:style w:styleId="style36" w:type="paragraph">
    <w:name w:val="smallbodytext"/>
    <w:basedOn w:val="style0"/>
    <w:next w:val="style36"/>
    <w:pPr>
      <w:spacing w:after="28" w:before="28"/>
    </w:pPr>
    <w:rPr>
      <w:rFonts w:ascii="Verdana" w:hAnsi="Verdana"/>
      <w:color w:val="000000"/>
      <w:sz w:val="9"/>
      <w:szCs w:val="9"/>
      <w:lang w:eastAsia="lt-LT"/>
    </w:rPr>
  </w:style>
  <w:style w:styleId="style37" w:type="paragraph">
    <w:name w:val="Block Text"/>
    <w:basedOn w:val="style0"/>
    <w:next w:val="style37"/>
    <w:pPr>
      <w:spacing w:after="28" w:before="28"/>
    </w:pPr>
    <w:rPr>
      <w:rFonts w:ascii="Times New Roman" w:hAnsi="Times New Roman"/>
      <w:szCs w:val="24"/>
      <w:lang w:eastAsia="lt-LT"/>
    </w:rPr>
  </w:style>
  <w:style w:styleId="style38" w:type="paragraph">
    <w:name w:val="Body Text Indent 3"/>
    <w:basedOn w:val="style0"/>
    <w:next w:val="style38"/>
    <w:pPr>
      <w:spacing w:after="120" w:before="0"/>
      <w:ind w:hanging="0" w:left="283" w:right="0"/>
    </w:pPr>
    <w:rPr>
      <w:sz w:val="16"/>
      <w:szCs w:val="16"/>
    </w:rPr>
  </w:style>
  <w:style w:styleId="style39" w:type="paragraph">
    <w:name w:val="annotation text"/>
    <w:basedOn w:val="style0"/>
    <w:next w:val="style39"/>
    <w:pPr>
      <w:spacing w:after="200" w:before="0"/>
    </w:pPr>
    <w:rPr>
      <w:rFonts w:ascii="Calibri" w:eastAsia="Calibri" w:hAnsi="Calibri"/>
      <w:sz w:val="20"/>
      <w:lang w:val="en-US"/>
    </w:rPr>
  </w:style>
  <w:style w:styleId="style40" w:type="paragraph">
    <w:name w:val="Frame contents"/>
    <w:basedOn w:val="style25"/>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2017-06-15T06:33:00.00Z</dcterms:created>
  <dc:creator>207</dc:creator>
  <cp:lastModifiedBy>Rolandas Olšauskas</cp:lastModifiedBy>
  <cp:lastPrinted>2015-06-01T07:30:00.00Z</cp:lastPrinted>
  <dcterms:modified xsi:type="dcterms:W3CDTF">2017-06-15T11:18:00.00Z</dcterms:modified>
  <cp:revision>6</cp:revision>
  <dc:title>LIETUVOS RESPUBLIKOS SPECIALIŲJŲ TYRIMŲ TARNYBA</dc:title>
</cp:coreProperties>
</file>